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766B09">
      <w:pPr>
        <w:pStyle w:val="4"/>
        <w:jc w:val="center"/>
        <w:rPr>
          <w:rFonts w:ascii="Times New Roman" w:hAnsi="Times New Roman"/>
          <w:caps/>
          <w:szCs w:val="32"/>
        </w:rPr>
      </w:pPr>
      <w:bookmarkStart w:id="0" w:name="_GoBack"/>
      <w:bookmarkEnd w:id="0"/>
      <w:r>
        <w:rPr>
          <w:rFonts w:ascii="Times New Roman" w:hAnsi="Times New Roman"/>
          <w:caps/>
          <w:szCs w:val="32"/>
        </w:rPr>
        <w:t>Контрольно-счетная КОМИССИЯ</w:t>
      </w:r>
    </w:p>
    <w:p w:rsidR="00000000" w:rsidRDefault="00766B09">
      <w:pPr>
        <w:pStyle w:val="4"/>
        <w:jc w:val="center"/>
      </w:pPr>
      <w:r>
        <w:rPr>
          <w:rFonts w:ascii="Times New Roman" w:hAnsi="Times New Roman"/>
          <w:caps/>
          <w:szCs w:val="32"/>
        </w:rPr>
        <w:t>БЕЙСКОГО РАЙОНА РЕСПУБЛИКИ хАКАСИЯ</w:t>
      </w:r>
    </w:p>
    <w:p w:rsidR="00000000" w:rsidRDefault="00766B09">
      <w:pPr>
        <w:rPr>
          <w:sz w:val="28"/>
          <w:szCs w:val="28"/>
        </w:rPr>
      </w:pPr>
    </w:p>
    <w:p w:rsidR="00000000" w:rsidRDefault="00766B09">
      <w:pPr>
        <w:rPr>
          <w:sz w:val="28"/>
          <w:szCs w:val="28"/>
        </w:rPr>
      </w:pPr>
    </w:p>
    <w:p w:rsidR="00000000" w:rsidRDefault="00766B09">
      <w:pPr>
        <w:rPr>
          <w:sz w:val="28"/>
          <w:szCs w:val="28"/>
        </w:rPr>
      </w:pPr>
    </w:p>
    <w:p w:rsidR="00000000" w:rsidRDefault="00766B09">
      <w:pPr>
        <w:rPr>
          <w:sz w:val="28"/>
          <w:szCs w:val="28"/>
        </w:rPr>
      </w:pPr>
    </w:p>
    <w:p w:rsidR="00000000" w:rsidRDefault="00766B09">
      <w:pPr>
        <w:rPr>
          <w:sz w:val="28"/>
          <w:szCs w:val="28"/>
        </w:rPr>
      </w:pPr>
    </w:p>
    <w:p w:rsidR="00000000" w:rsidRDefault="00766B09">
      <w:pPr>
        <w:rPr>
          <w:sz w:val="28"/>
          <w:szCs w:val="28"/>
        </w:rPr>
      </w:pPr>
    </w:p>
    <w:p w:rsidR="00000000" w:rsidRDefault="00766B0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Стандарт финансового контроля</w:t>
      </w:r>
    </w:p>
    <w:p w:rsidR="00000000" w:rsidRDefault="00766B09">
      <w:pPr>
        <w:jc w:val="center"/>
        <w:rPr>
          <w:b/>
          <w:sz w:val="40"/>
          <w:szCs w:val="40"/>
        </w:rPr>
      </w:pPr>
    </w:p>
    <w:p w:rsidR="00000000" w:rsidRDefault="00766B09">
      <w:pPr>
        <w:jc w:val="center"/>
        <w:rPr>
          <w:sz w:val="28"/>
          <w:szCs w:val="28"/>
        </w:rPr>
      </w:pPr>
      <w:r>
        <w:rPr>
          <w:b/>
          <w:sz w:val="40"/>
          <w:szCs w:val="40"/>
        </w:rPr>
        <w:t>СФК 4 «ПРОВЕДЕНИЕ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</w:t>
      </w:r>
      <w:r>
        <w:rPr>
          <w:b/>
          <w:sz w:val="40"/>
          <w:szCs w:val="40"/>
        </w:rPr>
        <w:t>ДМИНИСТРАТОРОВ БЮДЖЕТНЫХ СРЕДСТВ»</w:t>
      </w: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tabs>
          <w:tab w:val="left" w:pos="567"/>
        </w:tabs>
        <w:jc w:val="center"/>
        <w:rPr>
          <w:sz w:val="28"/>
          <w:szCs w:val="28"/>
        </w:rPr>
      </w:pPr>
      <w:r>
        <w:rPr>
          <w:b/>
          <w:bCs/>
          <w:color w:val="0000FF"/>
          <w:szCs w:val="28"/>
        </w:rPr>
        <w:t>(Утвержден распоряжением Председателя Контрольно-счетной комиссии  Бейского района Республики Хакасия  от 09.01.2019 № 4-Р)</w:t>
      </w: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center"/>
      </w:pPr>
      <w:r>
        <w:t>2</w:t>
      </w:r>
      <w:r>
        <w:t>019 год</w:t>
      </w:r>
    </w:p>
    <w:p w:rsidR="00000000" w:rsidRDefault="00766B09">
      <w:pPr>
        <w:jc w:val="both"/>
      </w:pPr>
    </w:p>
    <w:p w:rsidR="00000000" w:rsidRDefault="00766B09">
      <w:p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0" w:right="850" w:bottom="1134" w:left="1701" w:header="1134" w:footer="708" w:gutter="0"/>
          <w:cols w:space="720"/>
          <w:docGrid w:linePitch="600" w:charSpace="32768"/>
        </w:sectPr>
      </w:pPr>
    </w:p>
    <w:p w:rsidR="00000000" w:rsidRDefault="00766B09">
      <w:pPr>
        <w:jc w:val="both"/>
      </w:pPr>
    </w:p>
    <w:p w:rsidR="00000000" w:rsidRDefault="00766B09">
      <w:pPr>
        <w:jc w:val="center"/>
        <w:rPr>
          <w:sz w:val="28"/>
          <w:szCs w:val="28"/>
        </w:rPr>
      </w:pPr>
      <w:r>
        <w:t>Содержание</w:t>
      </w:r>
    </w:p>
    <w:p w:rsidR="00000000" w:rsidRDefault="00766B09">
      <w:pPr>
        <w:jc w:val="center"/>
        <w:rPr>
          <w:sz w:val="28"/>
          <w:szCs w:val="28"/>
        </w:rPr>
      </w:pPr>
    </w:p>
    <w:p w:rsidR="00000000" w:rsidRDefault="00766B09">
      <w:pPr>
        <w:jc w:val="center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  <w:r>
        <w:rPr>
          <w:sz w:val="28"/>
          <w:szCs w:val="28"/>
        </w:rPr>
        <w:t>1. Общие положения                                                                                               3</w:t>
      </w:r>
    </w:p>
    <w:p w:rsidR="00000000" w:rsidRDefault="00766B09">
      <w:pPr>
        <w:jc w:val="both"/>
        <w:rPr>
          <w:sz w:val="28"/>
          <w:szCs w:val="28"/>
        </w:rPr>
      </w:pPr>
      <w:r>
        <w:rPr>
          <w:sz w:val="28"/>
          <w:szCs w:val="28"/>
        </w:rPr>
        <w:t>2. Основные этапы проведения внешней проверки                                             5</w:t>
      </w:r>
    </w:p>
    <w:p w:rsidR="00000000" w:rsidRDefault="00766B09">
      <w:pPr>
        <w:jc w:val="both"/>
        <w:rPr>
          <w:sz w:val="28"/>
          <w:szCs w:val="28"/>
        </w:rPr>
      </w:pPr>
      <w:r>
        <w:rPr>
          <w:sz w:val="28"/>
          <w:szCs w:val="28"/>
        </w:rPr>
        <w:t>3. Комплекс контрольных м</w:t>
      </w:r>
      <w:r>
        <w:rPr>
          <w:sz w:val="28"/>
          <w:szCs w:val="28"/>
        </w:rPr>
        <w:t>ероприятий                                                               6</w:t>
      </w:r>
    </w:p>
    <w:p w:rsidR="00000000" w:rsidRDefault="00766B09">
      <w:pPr>
        <w:jc w:val="both"/>
        <w:rPr>
          <w:sz w:val="28"/>
          <w:szCs w:val="28"/>
        </w:rPr>
      </w:pPr>
      <w:r>
        <w:rPr>
          <w:sz w:val="28"/>
          <w:szCs w:val="28"/>
        </w:rPr>
        <w:t>4. Подготовка Заключения КСО                                                                            7</w:t>
      </w:r>
    </w:p>
    <w:p w:rsidR="00000000" w:rsidRDefault="00766B09">
      <w:pPr>
        <w:jc w:val="both"/>
        <w:rPr>
          <w:sz w:val="28"/>
          <w:szCs w:val="28"/>
        </w:rPr>
      </w:pPr>
      <w:r>
        <w:rPr>
          <w:sz w:val="28"/>
          <w:szCs w:val="28"/>
        </w:rPr>
        <w:t>5. Приложение № 1. Основные этапы проведения внешней проверки годовой бюдже</w:t>
      </w:r>
      <w:r>
        <w:rPr>
          <w:sz w:val="28"/>
          <w:szCs w:val="28"/>
        </w:rPr>
        <w:t>тной отчетности                                                                                           9</w:t>
      </w: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jc w:val="both"/>
        <w:rPr>
          <w:sz w:val="28"/>
          <w:szCs w:val="28"/>
        </w:rPr>
      </w:pPr>
    </w:p>
    <w:p w:rsidR="00000000" w:rsidRDefault="00766B09">
      <w:pPr>
        <w:sectPr w:rsidR="0000000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0" w:right="850" w:bottom="1134" w:left="1701" w:header="1134" w:footer="708" w:gutter="0"/>
          <w:cols w:space="720"/>
          <w:docGrid w:linePitch="600" w:charSpace="32768"/>
        </w:sectPr>
      </w:pPr>
    </w:p>
    <w:p w:rsidR="00000000" w:rsidRDefault="00766B09">
      <w:pPr>
        <w:pStyle w:val="1"/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000000" w:rsidRDefault="00766B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Стандарт финансового контроля  «Проведение внешней проверки годового отчета об исполнении местного бюджета совместно с </w:t>
      </w:r>
      <w:r>
        <w:rPr>
          <w:sz w:val="28"/>
          <w:szCs w:val="28"/>
        </w:rPr>
        <w:t>проверкой достоверности годовой бюджетной отчетности главных администраторов бюджетных средств» (далее - Стандарт) разработан во исполнение положений ст. 264.4 Бюджетного кодекса РФ, ст. 9 и ст. 11 Федерального закона от 07.02.2011 № 6-ФЗ «Об общих принцип</w:t>
      </w:r>
      <w:r>
        <w:rPr>
          <w:sz w:val="28"/>
          <w:szCs w:val="28"/>
        </w:rPr>
        <w:t>ах организации и деятельности контрольно-счетных органов субъектов Российской Федерации и муниципальных образований».</w:t>
      </w:r>
    </w:p>
    <w:p w:rsidR="00000000" w:rsidRDefault="00766B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 При адаптации Стандарта учитывались положения Устава муниципального образования Бейский, Положения о Контрольно-счетной комиссии Бейс</w:t>
      </w:r>
      <w:r>
        <w:rPr>
          <w:sz w:val="28"/>
          <w:szCs w:val="28"/>
        </w:rPr>
        <w:t xml:space="preserve">кого района, Положения о бюджетном процессе муниципального образования Бейский район. </w:t>
      </w:r>
    </w:p>
    <w:p w:rsidR="00000000" w:rsidRDefault="00766B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Настоящий Стандарт подготовлен в соответствии с </w:t>
      </w:r>
      <w:r>
        <w:rPr>
          <w:sz w:val="28"/>
          <w:szCs w:val="28"/>
        </w:rPr>
        <w:t>Общими требованиями к стандартам внешнего государственного и муниципального контроля для проведения контрольных и эк</w:t>
      </w:r>
      <w:r>
        <w:rPr>
          <w:sz w:val="28"/>
          <w:szCs w:val="28"/>
        </w:rPr>
        <w:t>спертно-аналитических мероприятий контрольно-счетными органами субъектов Российской Федерации и муниципальных образований, утвержденными Коллегией Счетной палаты РФ, протокол от 17.10.2014 № 47К (993).</w:t>
      </w:r>
    </w:p>
    <w:p w:rsidR="00000000" w:rsidRDefault="00766B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 Стандарт предназначен для использования сотрудник</w:t>
      </w:r>
      <w:r>
        <w:rPr>
          <w:sz w:val="28"/>
          <w:szCs w:val="28"/>
        </w:rPr>
        <w:t>ами Контрольно-счетной комиссии Бейского района (далее  КСК), специалистами и экспертами, привлекаемыми КСК (далее – участники внешней проверки), при организации и проведении проверки достоверности годовой бюджетной отчетности главных администраторов средс</w:t>
      </w:r>
      <w:r>
        <w:rPr>
          <w:sz w:val="28"/>
          <w:szCs w:val="28"/>
        </w:rPr>
        <w:t>тв бюджета, годового отчета об исполнении бюджета (далее – комплекс контрольных и экспертно-аналитических мероприятий), и подготовки на их основе Заключения КСК по отчету об исполнении бюджета за истекший финансовый год.</w:t>
      </w:r>
    </w:p>
    <w:p w:rsidR="00000000" w:rsidRDefault="00766B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 комплексом контрольных и экспер</w:t>
      </w:r>
      <w:r>
        <w:rPr>
          <w:sz w:val="28"/>
          <w:szCs w:val="28"/>
        </w:rPr>
        <w:t>тно-аналитических мероприятий в настоящем Стандарте понимается совокупность взаимосвязанных контрольных и экспертно-аналитических мероприятий, объединенных общим предметом и позволяющих подготовить Заключение КСК на отчет об исполнении бюджета в соответств</w:t>
      </w:r>
      <w:r>
        <w:rPr>
          <w:sz w:val="28"/>
          <w:szCs w:val="28"/>
        </w:rPr>
        <w:t>ии с требованиями бюджетного законодательства.</w:t>
      </w:r>
    </w:p>
    <w:p w:rsidR="00000000" w:rsidRDefault="00766B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 Стандарт относится к специальной группе стандартов. В части неурегулированной данным стандартом участникам внешней проверки необходимо руководствоваться действующими в КСК стандартами, регламентирующими п</w:t>
      </w:r>
      <w:r>
        <w:rPr>
          <w:sz w:val="28"/>
          <w:szCs w:val="28"/>
        </w:rPr>
        <w:t>орядок проведения контрольных и экспертно-аналитических мероприятий.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 При организации и проведении проверки достоверности годовой бюджетной отчетности главных администраторов средств бюджета, годового отчета об исполнении бюджета участники внешней пров</w:t>
      </w:r>
      <w:r>
        <w:rPr>
          <w:sz w:val="28"/>
          <w:szCs w:val="28"/>
        </w:rPr>
        <w:t>ерки руководствуются: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Бюджетным Кодексом Российской Федерации;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Федеральным законом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00000" w:rsidRDefault="00766B09">
      <w:pPr>
        <w:widowControl w:val="0"/>
        <w:autoSpaceDE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 </w:t>
      </w:r>
      <w:r>
        <w:rPr>
          <w:color w:val="FF0000"/>
          <w:sz w:val="28"/>
          <w:szCs w:val="28"/>
        </w:rPr>
        <w:t xml:space="preserve">Положением </w:t>
      </w:r>
      <w:r>
        <w:rPr>
          <w:color w:val="FF0000"/>
          <w:sz w:val="28"/>
          <w:szCs w:val="28"/>
        </w:rPr>
        <w:t>о КСК;</w:t>
      </w:r>
    </w:p>
    <w:p w:rsidR="00000000" w:rsidRDefault="00766B09">
      <w:pPr>
        <w:autoSpaceDE w:val="0"/>
        <w:ind w:firstLine="709"/>
        <w:jc w:val="both"/>
        <w:rPr>
          <w:color w:val="FF0000"/>
          <w:sz w:val="28"/>
          <w:szCs w:val="28"/>
        </w:rPr>
        <w:sectPr w:rsidR="00000000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851" w:right="851" w:bottom="567" w:left="1418" w:header="340" w:footer="340" w:gutter="0"/>
          <w:cols w:space="720"/>
          <w:docGrid w:linePitch="600" w:charSpace="32768"/>
        </w:sectPr>
      </w:pPr>
      <w:r>
        <w:rPr>
          <w:color w:val="FF0000"/>
          <w:sz w:val="28"/>
          <w:szCs w:val="28"/>
        </w:rPr>
        <w:t>- Положением о бюджетном процессе муниципального образования;</w:t>
      </w:r>
    </w:p>
    <w:p w:rsidR="00000000" w:rsidRDefault="00766B09">
      <w:pPr>
        <w:autoSpaceDE w:val="0"/>
        <w:ind w:firstLine="709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>- Уставом муниципального образования;</w:t>
      </w:r>
    </w:p>
    <w:p w:rsidR="00000000" w:rsidRDefault="00766B0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Федеральными законами, нормативными правовыми актами в зависимости от специфики объекта проверки и рассматриваемых вопросов;</w:t>
      </w:r>
    </w:p>
    <w:p w:rsidR="00000000" w:rsidRDefault="00766B0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Методическими рекоме</w:t>
      </w:r>
      <w:r>
        <w:rPr>
          <w:sz w:val="28"/>
          <w:szCs w:val="28"/>
        </w:rPr>
        <w:t>ндациями, разработанными в развитие Стандарта.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 Целью Стандарта является установление единых организационно-правовых, информационных, методических основ проведения комплекса контрольных и экспертно-аналитических мероприятий и подготовки Заключения КСК </w:t>
      </w:r>
      <w:r>
        <w:rPr>
          <w:sz w:val="28"/>
          <w:szCs w:val="28"/>
        </w:rPr>
        <w:t>по отчету об исполнении бюджета за истекший финансовый год (далее - Заключения КСК).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 Задачи, решаемые Стандартом: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определение основных этапов организации и проведения комплекса контрольных</w:t>
      </w:r>
      <w:r>
        <w:t xml:space="preserve"> </w:t>
      </w:r>
      <w:r>
        <w:rPr>
          <w:sz w:val="28"/>
          <w:szCs w:val="28"/>
        </w:rPr>
        <w:t>и экспертно-аналитических мероприятий и подготовки Заключени</w:t>
      </w:r>
      <w:r>
        <w:rPr>
          <w:sz w:val="28"/>
          <w:szCs w:val="28"/>
        </w:rPr>
        <w:t>я КСК;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установление требований к содержанию комплекса контрольных и экспертно-аналитических мероприятий и оформлению результатов его проведения;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определение структуры, содержания  и основных требований к Заключению КСК;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установление взаимодействия ме</w:t>
      </w:r>
      <w:r>
        <w:rPr>
          <w:sz w:val="28"/>
          <w:szCs w:val="28"/>
        </w:rPr>
        <w:t>жду участниками внешней проверки в ходе проведения контрольных и экспертно-аналитических мероприятий и подготовки Заключения КСК.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 Объекты внешней проверки: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финансовый орган, организующий исполнение бюджета;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главные администраторы бюджетных средств</w:t>
      </w:r>
      <w:r>
        <w:rPr>
          <w:sz w:val="28"/>
          <w:szCs w:val="28"/>
        </w:rPr>
        <w:t xml:space="preserve"> </w:t>
      </w:r>
    </w:p>
    <w:p w:rsidR="00000000" w:rsidRDefault="00766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 Основные термины и понятия применяются в соответствии с Бюджетным Кодексом Российской Федерации.</w:t>
      </w:r>
    </w:p>
    <w:p w:rsidR="00000000" w:rsidRDefault="00766B09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000000" w:rsidRDefault="00766B09">
      <w:pPr>
        <w:pStyle w:val="1"/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</w:rPr>
        <w:t>Основные этапы проведения внешней проверки</w:t>
      </w:r>
    </w:p>
    <w:p w:rsidR="00000000" w:rsidRDefault="00766B09">
      <w:pPr>
        <w:widowControl w:val="0"/>
        <w:tabs>
          <w:tab w:val="left" w:pos="0"/>
          <w:tab w:val="left" w:pos="1276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Внешняя проверка отчета об исполнении бюджета включает в себя следующие этапы: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подготовительный э</w:t>
      </w:r>
      <w:r>
        <w:rPr>
          <w:sz w:val="28"/>
          <w:szCs w:val="28"/>
        </w:rPr>
        <w:t>тап;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камеральная проверка отчетности главных администраторов бюджетных средств;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комплекс контрольных и экспертно-аналитических мероприятий;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подготовка Заключения КСК.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этапы проведения внешней проверки годовой бюджетной отчетности приведены в</w:t>
      </w:r>
      <w:r>
        <w:rPr>
          <w:sz w:val="28"/>
          <w:szCs w:val="28"/>
        </w:rPr>
        <w:t xml:space="preserve"> Приложении № 1. При адаптации указанного приложения соответствующим КСК возможно предусмотреть конкретные сроки осуществления этапов с учетом требований бюджетного законодательства.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На подготовительном этапе изучается нормативно-правовая база в части</w:t>
      </w:r>
      <w:r>
        <w:rPr>
          <w:sz w:val="28"/>
          <w:szCs w:val="28"/>
        </w:rPr>
        <w:t xml:space="preserve"> исполнения решения о бюджете муниципального образования за истекший финансовый год, формирования бюджетной отчетности, составляются рабочие таблицы, разрабатывается схема взаимодействия участников внешней проверки. Также анализируются данные ранее проведе</w:t>
      </w:r>
      <w:r>
        <w:rPr>
          <w:sz w:val="28"/>
          <w:szCs w:val="28"/>
        </w:rPr>
        <w:t xml:space="preserve">нных самостоятельных контрольных и (или) экспертно-аналитических </w:t>
      </w:r>
      <w:r>
        <w:rPr>
          <w:sz w:val="28"/>
          <w:szCs w:val="28"/>
        </w:rPr>
        <w:lastRenderedPageBreak/>
        <w:t>мероприятий по проверке исполнения бюджета за истекший финансовый год.</w:t>
      </w:r>
    </w:p>
    <w:p w:rsidR="00000000" w:rsidRDefault="00766B09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С момента представления главными администраторами бюджетных средств годовой бюджетной отчетности осуществляется кам</w:t>
      </w:r>
      <w:r>
        <w:rPr>
          <w:sz w:val="28"/>
          <w:szCs w:val="28"/>
        </w:rPr>
        <w:t>еральная проверка полученных документов.</w:t>
      </w:r>
    </w:p>
    <w:p w:rsidR="00000000" w:rsidRDefault="00766B09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Камеральная проверка включает в себя проверку своевременности и полноты представленных документов, соблюдение требований порядка составления отчетности, полноты заполнения реквизитов представленных форм отчетности, </w:t>
      </w:r>
      <w:r>
        <w:rPr>
          <w:sz w:val="28"/>
          <w:szCs w:val="28"/>
        </w:rPr>
        <w:t xml:space="preserve">соответствие отчетности, представленной на бумажных носителях электронной версии, соблюдение контрольных соотношений, соответствие плановых показателей решению о бюджете муниципального образования за истекший финансовый год, сводной бюджетной росписи. </w:t>
      </w:r>
    </w:p>
    <w:p w:rsidR="00000000" w:rsidRDefault="00766B09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Кам</w:t>
      </w:r>
      <w:r>
        <w:rPr>
          <w:sz w:val="28"/>
          <w:szCs w:val="28"/>
        </w:rPr>
        <w:t>еральная проверка завершается оформлением соответствующих итогам камеральной проверки аналитических материалов.</w:t>
      </w:r>
    </w:p>
    <w:p w:rsidR="00000000" w:rsidRDefault="00766B09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 Комплекс контрольных и экспертно-аналитических мероприятий включает в себя проверки достоверности бюджетной отчетности главных администрато</w:t>
      </w:r>
      <w:r>
        <w:rPr>
          <w:sz w:val="28"/>
          <w:szCs w:val="28"/>
        </w:rPr>
        <w:t>ров бюджетных средств и иные тематические контрольные и экспертно-аналитические проверки по вопросам, влияющим на формирование бюджетной отчетности.</w:t>
      </w:r>
    </w:p>
    <w:p w:rsidR="00000000" w:rsidRDefault="00766B09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Объекты контрольных мероприятий утверждаются соответствующими приказами Председателя КСК на основании предл</w:t>
      </w:r>
      <w:r>
        <w:rPr>
          <w:sz w:val="28"/>
          <w:szCs w:val="28"/>
        </w:rPr>
        <w:t xml:space="preserve">ожений аудиторов с учетом результатов камеральной проверки бюджетной отчетности. </w:t>
      </w:r>
    </w:p>
    <w:p w:rsidR="00000000" w:rsidRDefault="00766B09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Комплекс контрольных мероприятий осуществляется в соответствии со Стандартом финансового контроля КСК «Общие правила проведения контрольного мероприятия» с оформлением по ито</w:t>
      </w:r>
      <w:r>
        <w:rPr>
          <w:sz w:val="28"/>
          <w:szCs w:val="28"/>
        </w:rPr>
        <w:t xml:space="preserve">гам проверок соответствующих актов. 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 Заключение КСК по отчету об исполнении бюджета за истекший финансовый год подготавливается на основе: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результатов камеральной проверки отчета об исполнении бюджета и бюджетной отчетности главных администраторов б</w:t>
      </w:r>
      <w:r>
        <w:rPr>
          <w:sz w:val="28"/>
          <w:szCs w:val="28"/>
        </w:rPr>
        <w:t>юджетных средств;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результатов комплекса контрольных и экспертно-аналитических мероприятий;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иных документов и материалов, характеризующих исполнение бюджета за истекший год, представленных с годовым отчетом об исполнении бюджета, а также по запросам КСК</w:t>
      </w:r>
      <w:r>
        <w:rPr>
          <w:sz w:val="28"/>
          <w:szCs w:val="28"/>
        </w:rPr>
        <w:t>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000000" w:rsidRDefault="00766B09">
      <w:pPr>
        <w:pStyle w:val="1"/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</w:rPr>
        <w:t>Комплекс контрольных мероприятий</w:t>
      </w:r>
    </w:p>
    <w:p w:rsidR="00000000" w:rsidRDefault="00766B09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 Целью проведения комплекса контрольных мероприятий является оценка достоверности отчетности об исполнении бюджета, выявление нарушений и недостатков, а также их возможных последствий.</w:t>
      </w:r>
    </w:p>
    <w:p w:rsidR="00000000" w:rsidRDefault="00766B09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 Задачи контрольных меро</w:t>
      </w:r>
      <w:r>
        <w:rPr>
          <w:sz w:val="28"/>
          <w:szCs w:val="28"/>
        </w:rPr>
        <w:t>приятий следующие: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установление корректности заполнения отчетных форм главного администратора бюджетных средств в части суммирования соответствующих данных подведомственных получателей бюджетных средств;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установление законности составления бюджетной ро</w:t>
      </w:r>
      <w:r>
        <w:rPr>
          <w:sz w:val="28"/>
          <w:szCs w:val="28"/>
        </w:rPr>
        <w:t>списи и доведения лимитов бюджетных обязательств;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установление своевременности и полноты формирования муниципальных заданий, а также соглашений о порядке и условиях предоставления субсидии на финансовое обеспечение выполнения муниципального задания;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</w:t>
      </w:r>
      <w:r>
        <w:rPr>
          <w:sz w:val="28"/>
          <w:szCs w:val="28"/>
        </w:rPr>
        <w:t>тановление наличия и законности перемещений бюджетных ассигнований;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определение результативности бюджетных ассигнований на основе анализа отчетных данных;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установление соответствия бюджетной отчетности регистрам бухгалтерского учета и первичным докумен</w:t>
      </w:r>
      <w:r>
        <w:rPr>
          <w:sz w:val="28"/>
          <w:szCs w:val="28"/>
        </w:rPr>
        <w:t>там;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 установление причин выявленных нарушений и недостатков.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При осуществлении контрольного мероприятия главные администраторы бюджетных средств (ГАБС) проверяются как: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главные администраторы доходов бюджета;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администраторы доходов бюджета;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г</w:t>
      </w:r>
      <w:r>
        <w:rPr>
          <w:sz w:val="28"/>
          <w:szCs w:val="28"/>
        </w:rPr>
        <w:t>лавные администраторы источников финансирования бюджета;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администраторы источников финансирования бюджета;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главные распорядители средств бюджета (ГРБС);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распорядители средств бюджета по подведомственным получателям;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органы, регулирующие предоставле</w:t>
      </w:r>
      <w:r>
        <w:rPr>
          <w:sz w:val="28"/>
          <w:szCs w:val="28"/>
        </w:rPr>
        <w:t>ние субсидий;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получатели бюджетных средств.</w:t>
      </w:r>
    </w:p>
    <w:p w:rsidR="00000000" w:rsidRDefault="00766B09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 Оценка отчета об исполнении бюджета по доходам включает в себя определение соответствия показателей бюджетной отчетности показателям, учтенным в кассовом плане бюджета, анализ выполнения данных показателей</w:t>
      </w:r>
      <w:r>
        <w:rPr>
          <w:sz w:val="28"/>
          <w:szCs w:val="28"/>
        </w:rPr>
        <w:t>, анализ эффективности деятельности главного администратора доходов по контролю правильности исчисления, полноты и своевременности уплаты платежей в бюджет, взыскания и принятия решений по возврату излишне уплаченных платежей.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 Проверка использования б</w:t>
      </w:r>
      <w:r>
        <w:rPr>
          <w:sz w:val="28"/>
          <w:szCs w:val="28"/>
        </w:rPr>
        <w:t>юджетных ассигнований включает в себя: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анализ обоснованности внесения изменений в бюджетную смету, роспись;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анализ выполнения показателей, утвержденных сводной бюджетной росписью;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анализ причин неиспользования бюджетных ассигнований;</w:t>
      </w:r>
    </w:p>
    <w:p w:rsidR="00000000" w:rsidRDefault="00766B09">
      <w:pPr>
        <w:widowControl w:val="0"/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подтверждение </w:t>
      </w:r>
      <w:r>
        <w:rPr>
          <w:sz w:val="28"/>
          <w:szCs w:val="28"/>
        </w:rPr>
        <w:t xml:space="preserve">расходов регистрами учета и первичными документами (может быть проведен выборочным способом). 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 Проверке и анализу подлежит каждая форма бюджетной отчетности, включая Пояснительную записку к отчету.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 При рассмотрении вопросов результативности деяте</w:t>
      </w:r>
      <w:r>
        <w:rPr>
          <w:sz w:val="28"/>
          <w:szCs w:val="28"/>
        </w:rPr>
        <w:t>льности главных администраторов бюджетных средств рекомендуется использовать отчеты об исполнении муниципальных программ, ведомственных целевых программ.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000000" w:rsidRDefault="00766B09">
      <w:pPr>
        <w:pStyle w:val="1"/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</w:rPr>
        <w:t>Подготовка Заключения КС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Заключение КСК по отчету об исполнении  бюджета может включать в се</w:t>
      </w:r>
      <w:r>
        <w:rPr>
          <w:sz w:val="28"/>
          <w:szCs w:val="28"/>
        </w:rPr>
        <w:t>бя следующие разделы: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Общие положения;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Изменение плановых показателей бюджета;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Исполнение бюджета по доходам;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Исполнение бюджета по расходам;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Исполнение программной части бюджета;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Результат исполнения бюджета;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Состояние муниципального долга;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Оформление годовой бюджетной отчетности;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Выводы и предложения.</w:t>
      </w: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4.2. Общие положения содержат информацию о соответствии состава бюджетной отчетности требованиям Инструкции о порядке составления и представления отчетности, о соблюдении сроков её представ</w:t>
      </w:r>
      <w:r>
        <w:rPr>
          <w:sz w:val="28"/>
          <w:szCs w:val="28"/>
        </w:rPr>
        <w:t>ления в Контрольно-счетный орган, о соответствии показателей отчета об исполнении бюджета суммарным показателям бюджетной отчетности главных администраторов бюджетных средств.</w:t>
      </w: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4.3. Изменение плановых показателей основных характеристик бюджета анализируется</w:t>
      </w:r>
      <w:r>
        <w:rPr>
          <w:sz w:val="28"/>
          <w:szCs w:val="28"/>
        </w:rPr>
        <w:t xml:space="preserve"> согласно принятым в истекшем году решениям по внесению изменений в бюджет.</w:t>
      </w: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данном разделе отражаются основные причины вносимых изменений как в целом по бюджету, так и в разрезе отдельных администраторов бюджетных средств.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 Исполнение бюджета по дохо</w:t>
      </w:r>
      <w:r>
        <w:rPr>
          <w:sz w:val="28"/>
          <w:szCs w:val="28"/>
        </w:rPr>
        <w:t xml:space="preserve">дам анализируется в разрезе налоговых, неналоговых доходов и безвозмездных поступлений от других бюджетов бюджетной системы. 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Налоговые и неналоговые доходы рекомендуется анализировать в разрезе основных видов, безвозмездные поступления – по наиболее значи</w:t>
      </w:r>
      <w:r>
        <w:rPr>
          <w:sz w:val="28"/>
          <w:szCs w:val="28"/>
        </w:rPr>
        <w:t>тельным в суммовом выражении. Исполнение бюджета по доходам анализируется с точки зрения соответствия Основным направлениям бюджетной и налоговой политики.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данном разделе отражается выполнение прогнозных значений по доходам, устанавливаются причины и пос</w:t>
      </w:r>
      <w:r>
        <w:rPr>
          <w:sz w:val="28"/>
          <w:szCs w:val="28"/>
        </w:rPr>
        <w:t>ледствия отклонений от плановых значений.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 Исполнение бюджета по расходам анализируется с точки зрения соответствия Основным направлениям бюджетной и налоговой политики.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Определяется освоение бюджетных ассигнований в разрезе функциональной и ведомствен</w:t>
      </w:r>
      <w:r>
        <w:rPr>
          <w:sz w:val="28"/>
          <w:szCs w:val="28"/>
        </w:rPr>
        <w:t>ной структуры расходов бюджета, муниципальных заданий, выявляются причины неосвоения.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Отдельно рассматривается использование резервного фонда муниципального образования.</w:t>
      </w:r>
    </w:p>
    <w:p w:rsidR="00000000" w:rsidRDefault="00766B09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 Исполнение программной части бюджета раскрывается на основе анализа бюджетных асс</w:t>
      </w:r>
      <w:r>
        <w:rPr>
          <w:sz w:val="28"/>
          <w:szCs w:val="28"/>
        </w:rPr>
        <w:t>игнований, выделенных на реализацию муниципальных и ведомственных  программ. Приводится динамика ассигнований в целом по программам и в разрезе переходящих программ. Устанавливаются причины внесения изменений в программы, неосвоения бюджетных ассигнований.</w:t>
      </w:r>
      <w:r>
        <w:rPr>
          <w:sz w:val="28"/>
          <w:szCs w:val="28"/>
        </w:rPr>
        <w:t xml:space="preserve"> Определяется влияние изменений на результативность программ. </w:t>
      </w: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4.7. Результатом исполнения бюджета является профицит или дефицит бюджета. Проводится сравнение плановых и фактических показателей. Устанавливаются факторы, повлиявшие на результат. Определяютс</w:t>
      </w:r>
      <w:r>
        <w:rPr>
          <w:sz w:val="28"/>
          <w:szCs w:val="28"/>
        </w:rPr>
        <w:t>я источники финансирования дефицита бюджета.</w:t>
      </w: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4.8. Состояние муниципального долга рассматривается как в целом по бюджету за счет привлечения сторонних средств в качестве источника финансирования дефицита бюджета и за счет предоставления муниципальных гарант</w:t>
      </w:r>
      <w:r>
        <w:rPr>
          <w:sz w:val="28"/>
          <w:szCs w:val="28"/>
        </w:rPr>
        <w:t>ий, так и в разрезе главных администраторов бюджетных средств в части дебиторской и кредиторской задолженности.</w:t>
      </w: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4.9. Выявляемые в ходе внешней проверки другие нарушения и недостатки, в том числе в части оформления форм, таблиц и текстовой части годовой бюд</w:t>
      </w:r>
      <w:r>
        <w:rPr>
          <w:sz w:val="28"/>
          <w:szCs w:val="28"/>
        </w:rPr>
        <w:t>жетной отчетности отражаются в соответствующем разделе Заключения КСК.</w:t>
      </w: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4.10. По итогам внешней проверки формулируется вывод о достоверности представленного отчета об исполнении бюджета. Обобщаются выводы по каждому разделу Заключения, выявляются причинно-с</w:t>
      </w:r>
      <w:r>
        <w:rPr>
          <w:sz w:val="28"/>
          <w:szCs w:val="28"/>
        </w:rPr>
        <w:t>ледственные связи и разрабатываются предложения в части повышения эффективности бюджетного процесса.</w:t>
      </w: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000000" w:rsidRDefault="00766B09">
      <w:pPr>
        <w:sectPr w:rsidR="00000000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851" w:right="851" w:bottom="567" w:left="1418" w:header="340" w:footer="340" w:gutter="0"/>
          <w:cols w:space="720"/>
          <w:docGrid w:linePitch="600" w:charSpace="32768"/>
        </w:sectPr>
      </w:pPr>
    </w:p>
    <w:p w:rsidR="00000000" w:rsidRDefault="00766B09">
      <w:pPr>
        <w:widowControl w:val="0"/>
        <w:autoSpaceDE w:val="0"/>
        <w:ind w:firstLine="720"/>
        <w:jc w:val="right"/>
      </w:pPr>
      <w:r>
        <w:rPr>
          <w:sz w:val="22"/>
        </w:rPr>
        <w:t>Приложение № 1</w:t>
      </w:r>
    </w:p>
    <w:p w:rsidR="00000000" w:rsidRDefault="00766B09">
      <w:pPr>
        <w:pStyle w:val="1"/>
        <w:spacing w:before="0" w:after="0"/>
        <w:ind w:left="0"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00000" w:rsidRDefault="00766B09">
      <w:pPr>
        <w:pStyle w:val="1"/>
        <w:spacing w:before="0" w:after="0"/>
        <w:ind w:left="0" w:firstLine="709"/>
        <w:jc w:val="center"/>
      </w:pPr>
      <w:r>
        <w:rPr>
          <w:rFonts w:ascii="Times New Roman" w:hAnsi="Times New Roman" w:cs="Times New Roman"/>
          <w:sz w:val="24"/>
          <w:szCs w:val="24"/>
        </w:rPr>
        <w:t>Основные этапы проведения внешней проверки</w:t>
      </w:r>
    </w:p>
    <w:p w:rsidR="00000000" w:rsidRDefault="00766B09">
      <w:pPr>
        <w:widowControl w:val="0"/>
        <w:autoSpaceDE w:val="0"/>
        <w:ind w:firstLine="720"/>
        <w:jc w:val="center"/>
        <w:rPr>
          <w:b/>
        </w:rPr>
      </w:pPr>
      <w:r>
        <w:rPr>
          <w:b/>
        </w:rPr>
        <w:t>годовой бюджетной отчетности</w:t>
      </w:r>
    </w:p>
    <w:p w:rsidR="00000000" w:rsidRDefault="00766B09">
      <w:pPr>
        <w:widowControl w:val="0"/>
        <w:autoSpaceDE w:val="0"/>
        <w:ind w:firstLine="720"/>
        <w:jc w:val="center"/>
        <w:rPr>
          <w:b/>
        </w:rPr>
      </w:pPr>
    </w:p>
    <w:tbl>
      <w:tblPr>
        <w:tblW w:w="0" w:type="auto"/>
        <w:tblInd w:w="-141" w:type="dxa"/>
        <w:tblLayout w:type="fixed"/>
        <w:tblLook w:val="0000" w:firstRow="0" w:lastRow="0" w:firstColumn="0" w:lastColumn="0" w:noHBand="0" w:noVBand="0"/>
      </w:tblPr>
      <w:tblGrid>
        <w:gridCol w:w="7308"/>
        <w:gridCol w:w="2313"/>
      </w:tblGrid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center"/>
            </w:pPr>
            <w:r>
              <w:rPr>
                <w:b/>
              </w:rPr>
              <w:t>Рекомендуемые</w:t>
            </w:r>
            <w:r>
              <w:rPr>
                <w:b/>
                <w:shd w:val="clear" w:color="auto" w:fill="FF0000"/>
              </w:rPr>
              <w:t xml:space="preserve"> </w:t>
            </w:r>
            <w:r>
              <w:rPr>
                <w:b/>
              </w:rPr>
              <w:t xml:space="preserve">сроки </w:t>
            </w:r>
            <w:r>
              <w:rPr>
                <w:b/>
              </w:rPr>
              <w:t>выполнения работ</w:t>
            </w: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center"/>
            </w:pPr>
            <w:r>
              <w:t>1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center"/>
            </w:pPr>
            <w:r>
              <w:t>2</w:t>
            </w: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center"/>
            </w:pPr>
            <w:r>
              <w:rPr>
                <w:b/>
                <w:i/>
              </w:rPr>
              <w:t>Подготовительный этап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изучение нормативной базы в части исполнения решения о бюджете муниципального образования за истекший финансовый год, формирования бюджетной отчетности, Анализ данных ранее проведенных самостоятельных контро</w:t>
            </w:r>
            <w:r>
              <w:t>льных и (или) экспертно-аналитических мероприятий по проверке исполнения бюджета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подготовка шаблонов аналитических таблиц, шаблонов рабочей документации для камеральной проверки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разработка схемы взаимодействия участников внешней проверки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контро</w:t>
            </w:r>
            <w:r>
              <w:t>ль поступления годовой бюджетной отчетности ГРБС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center"/>
            </w:pPr>
            <w:r>
              <w:rPr>
                <w:b/>
                <w:i/>
              </w:rPr>
              <w:t>Камеральная проверка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проверка соответствия состава представленных документов требованиям нормативно-правовых актов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both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проверка полноты заполнения всех необходимых реквизитов и показателей форм и табли</w:t>
            </w:r>
            <w:r>
              <w:t>ц бюджетной отчетности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both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соблюдение требований порядка составления отчетности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both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соответствие показателей отчетности, представленной на бумажных носителях, электронной версии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both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проверка соблюдения контрольных соотношений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both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проверка соответствия план</w:t>
            </w:r>
            <w:r>
              <w:t>овых показателей решению о бюджете за истекший финансовый год и сводной бюджетной росписи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both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 xml:space="preserve">- заполнение соответствующих форм аналитических таблиц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both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определение объектов и тематики комплекса контрольных мероприятий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both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center"/>
              <w:rPr>
                <w:b/>
              </w:rPr>
            </w:pPr>
            <w:r>
              <w:rPr>
                <w:b/>
                <w:i/>
              </w:rPr>
              <w:t>Комплекс контрольных и экспертно-ана</w:t>
            </w:r>
            <w:r>
              <w:rPr>
                <w:b/>
                <w:i/>
              </w:rPr>
              <w:t>литических мероприятий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оформление приказов и программ мероприятий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проведение мероприятий в соответствии с утвержденными программами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оформление актов (заключений)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center"/>
            </w:pPr>
            <w:r>
              <w:rPr>
                <w:b/>
                <w:i/>
              </w:rPr>
              <w:t>Подготовка Заключения КСО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 xml:space="preserve">- изучение отчета об исполнении бюджета за истекший </w:t>
            </w:r>
            <w:r>
              <w:t>финансовый год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анализ результатов  контрольных мероприятий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jc w:val="both"/>
            </w:pPr>
            <w:r>
              <w:t>- подготовка Заключения КСО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66B09">
            <w:pPr>
              <w:widowControl w:val="0"/>
              <w:autoSpaceDE w:val="0"/>
              <w:snapToGrid w:val="0"/>
              <w:jc w:val="center"/>
            </w:pPr>
          </w:p>
        </w:tc>
      </w:tr>
    </w:tbl>
    <w:p w:rsidR="00EC7F40" w:rsidRDefault="00EC7F40">
      <w:pPr>
        <w:snapToGrid w:val="0"/>
      </w:pPr>
    </w:p>
    <w:sectPr w:rsidR="00EC7F40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851" w:right="851" w:bottom="567" w:left="1418" w:header="340" w:footer="34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B09" w:rsidRDefault="00766B09">
      <w:r>
        <w:separator/>
      </w:r>
    </w:p>
  </w:endnote>
  <w:endnote w:type="continuationSeparator" w:id="0">
    <w:p w:rsidR="00766B09" w:rsidRDefault="00766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C7F40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5680" behindDoc="0" locked="0" layoutInCell="1" allowOverlap="1">
              <wp:simplePos x="0" y="0"/>
              <wp:positionH relativeFrom="page">
                <wp:posOffset>7005955</wp:posOffset>
              </wp:positionH>
              <wp:positionV relativeFrom="paragraph">
                <wp:posOffset>635</wp:posOffset>
              </wp:positionV>
              <wp:extent cx="13970" cy="172085"/>
              <wp:effectExtent l="5080" t="635" r="0" b="8255"/>
              <wp:wrapSquare wrapText="largest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766B09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1.65pt;margin-top:.05pt;width:1.1pt;height:13.55pt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" stroked="f">
              <v:fill opacity="0"/>
              <v:textbox inset="0,0,0,0">
                <w:txbxContent>
                  <w:p w:rsidR="00000000" w:rsidRDefault="00766B09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C7F40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7005955</wp:posOffset>
              </wp:positionH>
              <wp:positionV relativeFrom="paragraph">
                <wp:posOffset>635</wp:posOffset>
              </wp:positionV>
              <wp:extent cx="13970" cy="172085"/>
              <wp:effectExtent l="5080" t="635" r="0" b="8255"/>
              <wp:wrapSquare wrapText="largest"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766B09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51.65pt;margin-top:.05pt;width:1.1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" stroked="f">
              <v:fill opacity="0"/>
              <v:textbox inset="0,0,0,0">
                <w:txbxContent>
                  <w:p w:rsidR="00000000" w:rsidRDefault="00766B09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C7F40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752" behindDoc="0" locked="0" layoutInCell="1" allowOverlap="1">
              <wp:simplePos x="0" y="0"/>
              <wp:positionH relativeFrom="page">
                <wp:posOffset>7005320</wp:posOffset>
              </wp:positionH>
              <wp:positionV relativeFrom="paragraph">
                <wp:posOffset>635</wp:posOffset>
              </wp:positionV>
              <wp:extent cx="13970" cy="172085"/>
              <wp:effectExtent l="4445" t="635" r="635" b="8255"/>
              <wp:wrapSquare wrapText="largest"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766B09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551.6pt;margin-top:.05pt;width:1.1pt;height:13.55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" stroked="f">
              <v:fill opacity="0"/>
              <v:textbox inset="0,0,0,0">
                <w:txbxContent>
                  <w:p w:rsidR="00000000" w:rsidRDefault="00766B09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>
    <w:pPr>
      <w:pStyle w:val="ac"/>
      <w:ind w:right="360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>
    <w:pPr>
      <w:pStyle w:val="ac"/>
      <w:ind w:right="360"/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C7F40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posOffset>7005320</wp:posOffset>
              </wp:positionH>
              <wp:positionV relativeFrom="paragraph">
                <wp:posOffset>635</wp:posOffset>
              </wp:positionV>
              <wp:extent cx="13970" cy="172085"/>
              <wp:effectExtent l="4445" t="635" r="635" b="8255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766B09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551.6pt;margin-top:.05pt;width:1.1pt;height:13.55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" stroked="f">
              <v:fill opacity="0"/>
              <v:textbox inset="0,0,0,0">
                <w:txbxContent>
                  <w:p w:rsidR="00000000" w:rsidRDefault="00766B09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B09" w:rsidRDefault="00766B09">
      <w:r>
        <w:separator/>
      </w:r>
    </w:p>
  </w:footnote>
  <w:footnote w:type="continuationSeparator" w:id="0">
    <w:p w:rsidR="00766B09" w:rsidRDefault="00766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>
    <w:pPr>
      <w:pStyle w:val="ad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>
    <w:pPr>
      <w:pStyle w:val="ad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C7F40">
    <w:pPr>
      <w:pStyle w:val="ad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7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2830" cy="172085"/>
              <wp:effectExtent l="8890" t="635" r="5080" b="8255"/>
              <wp:wrapSquare wrapText="largest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83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766B09">
                          <w:pPr>
                            <w:pStyle w:val="ad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EC7F40">
                            <w:rPr>
                              <w:rStyle w:val="a3"/>
                              <w:noProof/>
                            </w:rPr>
                            <w:t>4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0;margin-top:.05pt;width:82.9pt;height:13.55pt;z-index:25165977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" stroked="f">
              <v:fill opacity="0"/>
              <v:textbox inset="0,0,0,0">
                <w:txbxContent>
                  <w:p w:rsidR="00000000" w:rsidRDefault="00766B09">
                    <w:pPr>
                      <w:pStyle w:val="ad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EC7F40">
                      <w:rPr>
                        <w:rStyle w:val="a3"/>
                        <w:noProof/>
                      </w:rPr>
                      <w:t>4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000000" w:rsidRDefault="00766B09">
    <w:pPr>
      <w:pStyle w:val="ad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/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>
    <w:pPr>
      <w:pStyle w:val="ad"/>
      <w:jc w:val="center"/>
    </w:pPr>
  </w:p>
  <w:p w:rsidR="00000000" w:rsidRDefault="00766B09">
    <w:pPr>
      <w:pStyle w:val="ad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66B0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  <w:sz w:val="20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40"/>
    <w:rsid w:val="00766B09"/>
    <w:rsid w:val="00EC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8D569D86-B6F7-4C6C-8426-3361FD49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1z1">
    <w:name w:val="WW8Num1z1"/>
    <w:rPr>
      <w:rFonts w:ascii="Courier New" w:hAnsi="Courier New" w:cs="Courier New" w:hint="default"/>
      <w:sz w:val="20"/>
    </w:rPr>
  </w:style>
  <w:style w:type="character" w:customStyle="1" w:styleId="WW8Num1z2">
    <w:name w:val="WW8Num1z2"/>
    <w:rPr>
      <w:rFonts w:ascii="Wingdings" w:hAnsi="Wingdings" w:cs="Wingdings" w:hint="default"/>
      <w:sz w:val="20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  <w:sz w:val="20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Верхний колонтитул Знак"/>
    <w:rPr>
      <w:sz w:val="24"/>
      <w:szCs w:val="24"/>
    </w:rPr>
  </w:style>
  <w:style w:type="character" w:customStyle="1" w:styleId="a5">
    <w:name w:val="Текст сноски Знак"/>
    <w:basedOn w:val="10"/>
  </w:style>
  <w:style w:type="character" w:customStyle="1" w:styleId="a6">
    <w:name w:val="Символ сноски"/>
    <w:rPr>
      <w:vertAlign w:val="superscript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7">
    <w:name w:val="Схема документа Знак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1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2">
    <w:name w:val="Заголовок1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jc w:val="center"/>
    </w:pPr>
    <w:rPr>
      <w:b/>
      <w:i/>
      <w:iCs/>
      <w:sz w:val="28"/>
    </w:rPr>
  </w:style>
  <w:style w:type="paragraph" w:styleId="a9">
    <w:name w:val="List"/>
    <w:basedOn w:val="a8"/>
    <w:rPr>
      <w:rFonts w:cs="Mangal"/>
    </w:rPr>
  </w:style>
  <w:style w:type="paragraph" w:customStyle="1" w:styleId="aa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/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eastAsia="Arial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d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f">
    <w:name w:val="footnote text"/>
    <w:basedOn w:val="a"/>
    <w:rPr>
      <w:sz w:val="20"/>
      <w:szCs w:val="20"/>
    </w:rPr>
  </w:style>
  <w:style w:type="paragraph" w:customStyle="1" w:styleId="14">
    <w:name w:val="Схема документа1"/>
    <w:basedOn w:val="a"/>
    <w:rPr>
      <w:rFonts w:ascii="Tahoma" w:hAnsi="Tahoma" w:cs="Tahoma"/>
      <w:sz w:val="16"/>
      <w:szCs w:val="16"/>
      <w:lang w:val="x-none"/>
    </w:rPr>
  </w:style>
  <w:style w:type="paragraph" w:customStyle="1" w:styleId="15">
    <w:name w:val="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34" Type="http://schemas.openxmlformats.org/officeDocument/2006/relationships/header" Target="header14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header" Target="header10.xml"/><Relationship Id="rId33" Type="http://schemas.openxmlformats.org/officeDocument/2006/relationships/footer" Target="footer1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29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32" Type="http://schemas.openxmlformats.org/officeDocument/2006/relationships/footer" Target="footer13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8.xml"/><Relationship Id="rId27" Type="http://schemas.openxmlformats.org/officeDocument/2006/relationships/footer" Target="footer11.xml"/><Relationship Id="rId30" Type="http://schemas.openxmlformats.org/officeDocument/2006/relationships/header" Target="header12.xml"/><Relationship Id="rId35" Type="http://schemas.openxmlformats.org/officeDocument/2006/relationships/footer" Target="footer1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2421</Words>
  <Characters>13803</Characters>
  <Application>Microsoft Office Word</Application>
  <DocSecurity>0</DocSecurity>
  <Lines>115</Lines>
  <Paragraphs>32</Paragraphs>
  <ScaleCrop>false</ScaleCrop>
  <Company/>
  <LinksUpToDate>false</LinksUpToDate>
  <CharactersWithSpaces>16192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Контрольно-счетная палата города Иванова</dc:title>
  <dc:subject/>
  <dc:creator>1</dc:creator>
  <cp:keywords/>
  <cp:lastModifiedBy>Андрей</cp:lastModifiedBy>
  <cp:revision>2</cp:revision>
  <cp:lastPrinted>2013-02-13T05:45:00Z</cp:lastPrinted>
  <dcterms:created xsi:type="dcterms:W3CDTF">2024-04-26T07:52:00Z</dcterms:created>
  <dcterms:modified xsi:type="dcterms:W3CDTF">2024-04-26T07:52:00Z</dcterms:modified>
</cp:coreProperties>
</file>